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6636" w:rsidRDefault="000D6636" w:rsidP="00FE29B6">
      <w:pPr>
        <w:pStyle w:val="a5"/>
        <w:spacing w:line="360" w:lineRule="exact"/>
        <w:rPr>
          <w:rFonts w:ascii="方正小标宋简体" w:eastAsia="方正小标宋简体" w:hint="eastAsia"/>
          <w:w w:val="105"/>
          <w:sz w:val="30"/>
          <w:szCs w:val="30"/>
        </w:rPr>
      </w:pPr>
    </w:p>
    <w:p w:rsidR="00732B3B" w:rsidRPr="008C633B" w:rsidRDefault="00732B3B" w:rsidP="00CC0FDC">
      <w:pPr>
        <w:pStyle w:val="a5"/>
        <w:spacing w:line="480" w:lineRule="exact"/>
        <w:jc w:val="center"/>
        <w:rPr>
          <w:rFonts w:ascii="方正小标宋简体" w:eastAsia="方正小标宋简体"/>
          <w:w w:val="105"/>
          <w:sz w:val="36"/>
          <w:szCs w:val="36"/>
        </w:rPr>
      </w:pPr>
      <w:r w:rsidRPr="008C633B">
        <w:rPr>
          <w:rFonts w:ascii="方正小标宋简体" w:eastAsia="方正小标宋简体" w:hint="eastAsia"/>
          <w:w w:val="105"/>
          <w:sz w:val="36"/>
          <w:szCs w:val="36"/>
        </w:rPr>
        <w:t>湖北省</w:t>
      </w:r>
      <w:r w:rsidR="00142ED4">
        <w:rPr>
          <w:rFonts w:ascii="方正小标宋简体" w:eastAsia="方正小标宋简体" w:hint="eastAsia"/>
          <w:w w:val="105"/>
          <w:sz w:val="36"/>
          <w:szCs w:val="36"/>
        </w:rPr>
        <w:t>通山县</w:t>
      </w:r>
      <w:r w:rsidRPr="008C633B">
        <w:rPr>
          <w:rFonts w:ascii="方正小标宋简体" w:eastAsia="方正小标宋简体" w:hint="eastAsia"/>
          <w:w w:val="105"/>
          <w:sz w:val="36"/>
          <w:szCs w:val="36"/>
        </w:rPr>
        <w:t>人民法院</w:t>
      </w:r>
    </w:p>
    <w:p w:rsidR="00732B3B" w:rsidRPr="008C633B" w:rsidRDefault="00732B3B" w:rsidP="00CC0FDC">
      <w:pPr>
        <w:pStyle w:val="a5"/>
        <w:spacing w:line="480" w:lineRule="exact"/>
        <w:jc w:val="center"/>
        <w:rPr>
          <w:rFonts w:ascii="方正小标宋简体" w:eastAsia="方正小标宋简体"/>
          <w:w w:val="105"/>
          <w:sz w:val="36"/>
          <w:szCs w:val="36"/>
        </w:rPr>
      </w:pPr>
      <w:r w:rsidRPr="008C633B">
        <w:rPr>
          <w:rFonts w:ascii="方正小标宋简体" w:eastAsia="方正小标宋简体" w:hint="eastAsia"/>
          <w:w w:val="105"/>
          <w:sz w:val="36"/>
          <w:szCs w:val="36"/>
        </w:rPr>
        <w:t>当事人“法定退费”银行账号确认书</w:t>
      </w:r>
    </w:p>
    <w:p w:rsidR="00732B3B" w:rsidRPr="008C633B" w:rsidRDefault="00732B3B" w:rsidP="00CC0FDC">
      <w:pPr>
        <w:pStyle w:val="a5"/>
        <w:spacing w:line="400" w:lineRule="exact"/>
        <w:jc w:val="center"/>
        <w:rPr>
          <w:rFonts w:ascii="楷体_GB2312" w:eastAsia="楷体_GB2312" w:hAnsi="楷体" w:hint="eastAsia"/>
          <w:b/>
          <w:sz w:val="24"/>
          <w:szCs w:val="24"/>
        </w:rPr>
      </w:pPr>
      <w:r w:rsidRPr="008C633B">
        <w:rPr>
          <w:rFonts w:ascii="楷体_GB2312" w:eastAsia="楷体_GB2312" w:hAnsi="楷体" w:hint="eastAsia"/>
          <w:b/>
          <w:w w:val="105"/>
          <w:sz w:val="24"/>
          <w:szCs w:val="24"/>
        </w:rPr>
        <w:t>（本确认书应于立案环节和案件庭审前由当事人或代理人填写）</w:t>
      </w:r>
    </w:p>
    <w:tbl>
      <w:tblPr>
        <w:tblpPr w:leftFromText="180" w:rightFromText="180" w:vertAnchor="text" w:horzAnchor="margin" w:tblpXSpec="center" w:tblpY="239"/>
        <w:tblW w:w="8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2262"/>
        <w:gridCol w:w="2414"/>
        <w:gridCol w:w="994"/>
        <w:gridCol w:w="2708"/>
      </w:tblGrid>
      <w:tr w:rsidR="00732B3B" w:rsidRPr="00CC0FDC" w:rsidTr="00FE29B6">
        <w:trPr>
          <w:trHeight w:val="272"/>
        </w:trPr>
        <w:tc>
          <w:tcPr>
            <w:tcW w:w="573" w:type="dxa"/>
            <w:vAlign w:val="center"/>
          </w:tcPr>
          <w:p w:rsidR="00732B3B" w:rsidRPr="003B0D85" w:rsidRDefault="00732B3B" w:rsidP="00732B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案号</w:t>
            </w:r>
          </w:p>
        </w:tc>
        <w:tc>
          <w:tcPr>
            <w:tcW w:w="8378" w:type="dxa"/>
            <w:gridSpan w:val="4"/>
          </w:tcPr>
          <w:p w:rsidR="008C633B" w:rsidRPr="00CC0FDC" w:rsidRDefault="008C633B" w:rsidP="00732B3B">
            <w:pPr>
              <w:pStyle w:val="TableParagraph"/>
              <w:spacing w:line="28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32B3B" w:rsidRPr="00CC0FDC" w:rsidTr="00FE29B6">
        <w:trPr>
          <w:trHeight w:val="2277"/>
        </w:trPr>
        <w:tc>
          <w:tcPr>
            <w:tcW w:w="573" w:type="dxa"/>
            <w:vAlign w:val="center"/>
          </w:tcPr>
          <w:p w:rsidR="00732B3B" w:rsidRPr="003B0D85" w:rsidRDefault="00732B3B" w:rsidP="00732B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告知</w:t>
            </w:r>
          </w:p>
          <w:p w:rsidR="00732B3B" w:rsidRPr="003B0D85" w:rsidRDefault="00732B3B" w:rsidP="00732B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事项</w:t>
            </w:r>
          </w:p>
        </w:tc>
        <w:tc>
          <w:tcPr>
            <w:tcW w:w="8378" w:type="dxa"/>
            <w:gridSpan w:val="4"/>
          </w:tcPr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1.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本确认书载明的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“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户名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”“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账号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”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应均系当事人本人的银行户名和账号；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2.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非当事人本人银行户名和账号，或户名与账号不一致，或户名、账号错误的，经主审法官释明，当事人、代理人应向人民法院重新提交本确认书后，再行退费；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3.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本确认书由当事人本人或其委托代理人签字确认，当事人、代理人有多名的，应由多名当事人、代理人共同签字确认；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4.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本确认书确认的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“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法定退费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”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银行账号适用于各个诉讼阶段；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5.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如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“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法定退费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”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银行账号有变更，当事人、代理人应当向人民法院重新提交新的《当事人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“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法定退费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”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银行账号确认书》。</w:t>
            </w:r>
          </w:p>
        </w:tc>
      </w:tr>
      <w:tr w:rsidR="00732B3B" w:rsidRPr="00CC0FDC" w:rsidTr="00FE29B6">
        <w:trPr>
          <w:trHeight w:val="272"/>
        </w:trPr>
        <w:tc>
          <w:tcPr>
            <w:tcW w:w="573" w:type="dxa"/>
            <w:vAlign w:val="center"/>
          </w:tcPr>
          <w:p w:rsidR="00732B3B" w:rsidRPr="003B0D85" w:rsidRDefault="00732B3B" w:rsidP="00732B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法定</w:t>
            </w:r>
          </w:p>
          <w:p w:rsidR="00732B3B" w:rsidRPr="003B0D85" w:rsidRDefault="00732B3B" w:rsidP="00732B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退费</w:t>
            </w:r>
          </w:p>
          <w:p w:rsidR="00732B3B" w:rsidRPr="003B0D85" w:rsidRDefault="00732B3B" w:rsidP="00732B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情形</w:t>
            </w:r>
          </w:p>
        </w:tc>
        <w:tc>
          <w:tcPr>
            <w:tcW w:w="8378" w:type="dxa"/>
            <w:gridSpan w:val="4"/>
          </w:tcPr>
          <w:p w:rsidR="00732B3B" w:rsidRPr="00CC0FDC" w:rsidRDefault="00732B3B" w:rsidP="00732B3B">
            <w:pPr>
              <w:pStyle w:val="TableParagraph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《诉讼费用交纳办法》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第十五条</w:t>
            </w:r>
            <w:r w:rsidRPr="00CC0FDC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以调解方式结案或者当事人申请撤诉的，减半交纳案件受理费。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第二十七条</w:t>
            </w:r>
            <w:r w:rsidRPr="00CC0FDC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第二审人民法院决定将案件发回重审的，应当退还上诉人已交纳的第二审案件受理费。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第一审人民法院裁定不予受理或者驳回起诉的，应当退还当事人已交纳的案件受理费；当事人对第一审人民法院不予受理、驳回起诉的裁定提起上诉，第二审人民法院维持第一审人民法院</w:t>
            </w:r>
            <w:proofErr w:type="gramStart"/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作出</w:t>
            </w:r>
            <w:proofErr w:type="gramEnd"/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的裁定的，第一审人民法院应当退还当事人已交纳的案件受理费。</w:t>
            </w:r>
          </w:p>
          <w:p w:rsidR="00732B3B" w:rsidRPr="00CC0FDC" w:rsidRDefault="00732B3B" w:rsidP="00732B3B">
            <w:pPr>
              <w:pStyle w:val="TableParagraph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《最高人民法院关于适用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&lt;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中华人民共和国民事诉讼法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&gt;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的解释》</w:t>
            </w:r>
          </w:p>
          <w:p w:rsidR="00732B3B" w:rsidRPr="00CC0FDC" w:rsidRDefault="00732B3B" w:rsidP="00CC0FDC">
            <w:pPr>
              <w:pStyle w:val="TableParagraph"/>
              <w:spacing w:line="280" w:lineRule="exact"/>
              <w:ind w:firstLineChars="200" w:firstLine="42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第二百零七条</w:t>
            </w:r>
            <w:r w:rsidRPr="00CC0FDC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</w:t>
            </w: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判决生效后，胜诉方预交但不应负担的诉讼费用，人民法院应当退还，由败诉方向人民法院交纳，但胜诉方自愿承担或者同意败诉方直接向其支付的除外。</w:t>
            </w:r>
          </w:p>
          <w:p w:rsidR="00732B3B" w:rsidRPr="00CC0FDC" w:rsidRDefault="00732B3B" w:rsidP="00CC0FDC">
            <w:pPr>
              <w:pStyle w:val="TableParagraph"/>
              <w:spacing w:line="280" w:lineRule="exact"/>
              <w:ind w:firstLineChars="200" w:firstLine="420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当事人拒不交纳诉讼费用的，人民法院可以强制执行。</w:t>
            </w:r>
          </w:p>
        </w:tc>
      </w:tr>
      <w:tr w:rsidR="00732B3B" w:rsidRPr="00CC0FDC" w:rsidTr="00FE29B6">
        <w:trPr>
          <w:trHeight w:val="272"/>
        </w:trPr>
        <w:tc>
          <w:tcPr>
            <w:tcW w:w="57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32B3B" w:rsidRPr="003B0D85" w:rsidRDefault="00732B3B" w:rsidP="00732B3B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  <w:r w:rsidRPr="003B0D85">
              <w:rPr>
                <w:rFonts w:ascii="黑体" w:eastAsia="黑体" w:hAnsi="黑体"/>
                <w:szCs w:val="21"/>
              </w:rPr>
              <w:t>银行账号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B3B" w:rsidRPr="00CC0FDC" w:rsidRDefault="00732B3B" w:rsidP="00732B3B">
            <w:pPr>
              <w:pStyle w:val="TableParagraph"/>
              <w:spacing w:line="28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当事人</w:t>
            </w:r>
          </w:p>
        </w:tc>
        <w:tc>
          <w:tcPr>
            <w:tcW w:w="2414" w:type="dxa"/>
            <w:vAlign w:val="center"/>
          </w:tcPr>
          <w:p w:rsidR="00732B3B" w:rsidRPr="00CC0FDC" w:rsidRDefault="00732B3B" w:rsidP="00732B3B">
            <w:pPr>
              <w:pStyle w:val="TableParagraph"/>
              <w:spacing w:line="28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732B3B" w:rsidRPr="00CC0FDC" w:rsidRDefault="00732B3B" w:rsidP="00732B3B">
            <w:pPr>
              <w:pStyle w:val="TableParagraph"/>
              <w:spacing w:line="28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联系电话</w:t>
            </w:r>
          </w:p>
        </w:tc>
        <w:tc>
          <w:tcPr>
            <w:tcW w:w="2708" w:type="dxa"/>
            <w:vAlign w:val="center"/>
          </w:tcPr>
          <w:p w:rsidR="00732B3B" w:rsidRPr="00CC0FDC" w:rsidRDefault="00732B3B" w:rsidP="00732B3B">
            <w:pPr>
              <w:pStyle w:val="TableParagraph"/>
              <w:spacing w:line="28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32B3B" w:rsidRPr="00CC0FDC" w:rsidTr="00FE29B6">
        <w:trPr>
          <w:trHeight w:val="272"/>
        </w:trPr>
        <w:tc>
          <w:tcPr>
            <w:tcW w:w="57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32B3B" w:rsidRPr="003B0D85" w:rsidRDefault="00732B3B" w:rsidP="00732B3B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2B3B" w:rsidRPr="00CC0FDC" w:rsidRDefault="00732B3B" w:rsidP="00732B3B">
            <w:pPr>
              <w:pStyle w:val="TableParagraph"/>
              <w:spacing w:line="28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当事人本人户名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:rsidR="00732B3B" w:rsidRPr="00CC0FDC" w:rsidRDefault="00732B3B" w:rsidP="00732B3B">
            <w:pPr>
              <w:pStyle w:val="TableParagraph"/>
              <w:spacing w:line="280" w:lineRule="exact"/>
              <w:ind w:firstLine="76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开户行（必须具体到开户支行）</w:t>
            </w:r>
          </w:p>
        </w:tc>
        <w:tc>
          <w:tcPr>
            <w:tcW w:w="2708" w:type="dxa"/>
            <w:vAlign w:val="center"/>
          </w:tcPr>
          <w:p w:rsidR="00732B3B" w:rsidRPr="00CC0FDC" w:rsidRDefault="00732B3B" w:rsidP="00732B3B">
            <w:pPr>
              <w:pStyle w:val="TableParagraph"/>
              <w:spacing w:line="28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当事人本人账号</w:t>
            </w:r>
          </w:p>
        </w:tc>
      </w:tr>
      <w:tr w:rsidR="00732B3B" w:rsidRPr="00CC0FDC" w:rsidTr="00FE29B6">
        <w:trPr>
          <w:trHeight w:val="415"/>
        </w:trPr>
        <w:tc>
          <w:tcPr>
            <w:tcW w:w="57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32B3B" w:rsidRPr="003B0D85" w:rsidRDefault="00732B3B" w:rsidP="00732B3B">
            <w:pPr>
              <w:spacing w:line="28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2B3B" w:rsidRPr="00CC0FDC" w:rsidRDefault="00732B3B" w:rsidP="00732B3B">
            <w:pPr>
              <w:pStyle w:val="TableParagraph"/>
              <w:spacing w:line="280" w:lineRule="exact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408" w:type="dxa"/>
            <w:gridSpan w:val="2"/>
            <w:tcBorders>
              <w:top w:val="single" w:sz="4" w:space="0" w:color="auto"/>
            </w:tcBorders>
            <w:vAlign w:val="center"/>
          </w:tcPr>
          <w:p w:rsidR="00732B3B" w:rsidRPr="00CC0FDC" w:rsidRDefault="00732B3B" w:rsidP="00732B3B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708" w:type="dxa"/>
            <w:vAlign w:val="center"/>
          </w:tcPr>
          <w:p w:rsidR="00732B3B" w:rsidRPr="00CC0FDC" w:rsidRDefault="00732B3B" w:rsidP="00732B3B">
            <w:pPr>
              <w:pStyle w:val="TableParagraph"/>
              <w:spacing w:line="280" w:lineRule="exact"/>
              <w:jc w:val="center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  <w:tr w:rsidR="00732B3B" w:rsidRPr="00CC0FDC" w:rsidTr="00FE29B6">
        <w:trPr>
          <w:trHeight w:val="272"/>
        </w:trPr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627674" w:rsidRPr="003B0D85" w:rsidRDefault="00732B3B" w:rsidP="008C63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 w:hint="eastAsia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当</w:t>
            </w:r>
          </w:p>
          <w:p w:rsidR="00627674" w:rsidRPr="003B0D85" w:rsidRDefault="00732B3B" w:rsidP="008C63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 w:hint="eastAsia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事</w:t>
            </w:r>
          </w:p>
          <w:p w:rsidR="00627674" w:rsidRPr="003B0D85" w:rsidRDefault="00732B3B" w:rsidP="008C63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 w:hint="eastAsia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人</w:t>
            </w:r>
          </w:p>
          <w:p w:rsidR="00627674" w:rsidRPr="003B0D85" w:rsidRDefault="00732B3B" w:rsidP="008C63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 w:hint="eastAsia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确</w:t>
            </w:r>
          </w:p>
          <w:p w:rsidR="00732B3B" w:rsidRPr="003B0D85" w:rsidRDefault="00732B3B" w:rsidP="008C63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认</w:t>
            </w:r>
          </w:p>
        </w:tc>
        <w:tc>
          <w:tcPr>
            <w:tcW w:w="8378" w:type="dxa"/>
            <w:gridSpan w:val="4"/>
            <w:tcBorders>
              <w:left w:val="single" w:sz="4" w:space="0" w:color="auto"/>
            </w:tcBorders>
          </w:tcPr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1.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我已阅读（听明白）本确认书的告知事项，提供的上栏银行账号系当事人本人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“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户名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”“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账号</w:t>
            </w: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”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，并正确、有效；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2.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我已阅读（听明白）本确认书中法定退费情形；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b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3.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我已阅读（听明白）本确认书的告知事项，违反告知事项导致不能退费的责任由本人自行承担；</w:t>
            </w:r>
          </w:p>
          <w:p w:rsidR="00732B3B" w:rsidRPr="00CC0FDC" w:rsidRDefault="00732B3B" w:rsidP="00CC0FDC">
            <w:pPr>
              <w:pStyle w:val="TableParagraph"/>
              <w:snapToGrid w:val="0"/>
              <w:spacing w:line="280" w:lineRule="exact"/>
              <w:ind w:firstLineChars="200" w:firstLine="422"/>
              <w:jc w:val="bot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b/>
                <w:sz w:val="21"/>
                <w:szCs w:val="21"/>
              </w:rPr>
              <w:t>4.</w:t>
            </w:r>
            <w:r w:rsidRPr="00CC0FDC">
              <w:rPr>
                <w:rFonts w:ascii="Times New Roman" w:eastAsia="仿宋" w:hAnsi="仿宋" w:cs="Times New Roman"/>
                <w:b/>
                <w:sz w:val="21"/>
                <w:szCs w:val="21"/>
              </w:rPr>
              <w:t>我已阅读（听明白）本确认书的告知事项，但当事人本人自愿承担或者同意败诉方直接向其支付诉讼费用。</w:t>
            </w:r>
          </w:p>
          <w:p w:rsidR="00732B3B" w:rsidRDefault="00732B3B" w:rsidP="00732B3B">
            <w:pPr>
              <w:pStyle w:val="TableParagraph"/>
              <w:snapToGrid w:val="0"/>
              <w:spacing w:line="280" w:lineRule="exact"/>
              <w:rPr>
                <w:rFonts w:ascii="Times New Roman" w:eastAsia="仿宋" w:hAnsi="Times New Roman" w:cs="Times New Roman" w:hint="eastAsia"/>
                <w:sz w:val="21"/>
                <w:szCs w:val="21"/>
              </w:rPr>
            </w:pPr>
          </w:p>
          <w:p w:rsidR="00CC0FDC" w:rsidRPr="00CC0FDC" w:rsidRDefault="00CC0FDC" w:rsidP="00732B3B">
            <w:pPr>
              <w:pStyle w:val="TableParagraph"/>
              <w:snapToGrid w:val="0"/>
              <w:spacing w:line="28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  <w:p w:rsidR="00732B3B" w:rsidRPr="00CC0FDC" w:rsidRDefault="00732B3B" w:rsidP="00732B3B">
            <w:pPr>
              <w:pStyle w:val="TableParagraph"/>
              <w:tabs>
                <w:tab w:val="left" w:pos="7200"/>
                <w:tab w:val="left" w:pos="7800"/>
              </w:tabs>
              <w:spacing w:line="280" w:lineRule="exact"/>
              <w:ind w:firstLineChars="1850" w:firstLine="3885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当事人或委托代理人（签章）：</w:t>
            </w:r>
          </w:p>
          <w:p w:rsidR="00732B3B" w:rsidRPr="00CC0FDC" w:rsidRDefault="00732B3B" w:rsidP="00732B3B">
            <w:pPr>
              <w:pStyle w:val="TableParagraph"/>
              <w:tabs>
                <w:tab w:val="left" w:pos="6455"/>
                <w:tab w:val="left" w:pos="7800"/>
              </w:tabs>
              <w:spacing w:line="280" w:lineRule="exact"/>
              <w:ind w:firstLineChars="2550" w:firstLine="5355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C0FDC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   </w:t>
            </w: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年</w:t>
            </w:r>
            <w:r w:rsidRPr="00CC0FDC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 </w:t>
            </w: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月</w:t>
            </w:r>
            <w:r w:rsidRPr="00CC0FDC">
              <w:rPr>
                <w:rFonts w:ascii="Times New Roman" w:eastAsia="仿宋" w:hAnsi="Times New Roman" w:cs="Times New Roman"/>
                <w:sz w:val="21"/>
                <w:szCs w:val="21"/>
              </w:rPr>
              <w:t xml:space="preserve">    </w:t>
            </w:r>
            <w:r w:rsidRPr="00CC0FDC">
              <w:rPr>
                <w:rFonts w:ascii="Times New Roman" w:eastAsia="仿宋" w:hAnsi="仿宋" w:cs="Times New Roman"/>
                <w:sz w:val="21"/>
                <w:szCs w:val="21"/>
              </w:rPr>
              <w:t>日</w:t>
            </w:r>
          </w:p>
        </w:tc>
      </w:tr>
      <w:tr w:rsidR="00732B3B" w:rsidRPr="00CC0FDC" w:rsidTr="00FE29B6">
        <w:trPr>
          <w:trHeight w:val="412"/>
        </w:trPr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732B3B" w:rsidRPr="003B0D85" w:rsidRDefault="00732B3B" w:rsidP="00732B3B">
            <w:pPr>
              <w:pStyle w:val="TableParagraph"/>
              <w:spacing w:line="280" w:lineRule="exact"/>
              <w:jc w:val="center"/>
              <w:rPr>
                <w:rFonts w:ascii="黑体" w:eastAsia="黑体" w:hAnsi="黑体" w:cs="Times New Roman"/>
                <w:sz w:val="21"/>
                <w:szCs w:val="21"/>
              </w:rPr>
            </w:pPr>
            <w:r w:rsidRPr="003B0D85">
              <w:rPr>
                <w:rFonts w:ascii="黑体" w:eastAsia="黑体" w:hAnsi="黑体" w:cs="Times New Roman"/>
                <w:sz w:val="21"/>
                <w:szCs w:val="21"/>
              </w:rPr>
              <w:t>备注</w:t>
            </w:r>
          </w:p>
        </w:tc>
        <w:tc>
          <w:tcPr>
            <w:tcW w:w="8378" w:type="dxa"/>
            <w:gridSpan w:val="4"/>
            <w:tcBorders>
              <w:left w:val="single" w:sz="4" w:space="0" w:color="auto"/>
            </w:tcBorders>
          </w:tcPr>
          <w:p w:rsidR="00732B3B" w:rsidRPr="00CC0FDC" w:rsidRDefault="00732B3B" w:rsidP="008C633B">
            <w:pPr>
              <w:pStyle w:val="TableParagraph"/>
              <w:spacing w:line="360" w:lineRule="exact"/>
              <w:rPr>
                <w:rFonts w:ascii="Times New Roman" w:eastAsia="仿宋" w:hAnsi="Times New Roman" w:cs="Times New Roman"/>
                <w:sz w:val="21"/>
                <w:szCs w:val="21"/>
              </w:rPr>
            </w:pPr>
          </w:p>
        </w:tc>
      </w:tr>
    </w:tbl>
    <w:p w:rsidR="00732B3B" w:rsidRPr="00732B3B" w:rsidRDefault="00732B3B" w:rsidP="00FE29B6">
      <w:pPr>
        <w:spacing w:line="576" w:lineRule="exact"/>
        <w:jc w:val="left"/>
        <w:rPr>
          <w:rFonts w:ascii="黑体" w:eastAsia="黑体" w:hAnsi="黑体" w:hint="eastAsia"/>
          <w:sz w:val="32"/>
          <w:szCs w:val="32"/>
        </w:rPr>
      </w:pPr>
    </w:p>
    <w:sectPr w:rsidR="00732B3B" w:rsidRPr="00732B3B" w:rsidSect="007254D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2098" w:right="1531" w:bottom="1985" w:left="1531" w:header="851" w:footer="141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B9C" w:rsidRDefault="00130B9C" w:rsidP="007254D3">
      <w:r>
        <w:separator/>
      </w:r>
    </w:p>
  </w:endnote>
  <w:endnote w:type="continuationSeparator" w:id="1">
    <w:p w:rsidR="00130B9C" w:rsidRDefault="00130B9C" w:rsidP="0072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D3" w:rsidRPr="005A7B19" w:rsidRDefault="007254D3" w:rsidP="007254D3">
    <w:pPr>
      <w:pStyle w:val="a4"/>
      <w:ind w:leftChars="100" w:left="210"/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FE29B6" w:rsidRPr="00FE29B6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4D3" w:rsidRDefault="007254D3" w:rsidP="007254D3">
    <w:pPr>
      <w:pStyle w:val="a4"/>
      <w:ind w:rightChars="100" w:right="210"/>
      <w:jc w:val="right"/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FE29B6" w:rsidRPr="00FE29B6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B9C" w:rsidRDefault="00130B9C" w:rsidP="007254D3">
      <w:r>
        <w:separator/>
      </w:r>
    </w:p>
  </w:footnote>
  <w:footnote w:type="continuationSeparator" w:id="1">
    <w:p w:rsidR="00130B9C" w:rsidRDefault="00130B9C" w:rsidP="00725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08" w:rsidRDefault="00F97408" w:rsidP="00F9740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08" w:rsidRDefault="00F97408" w:rsidP="00F9740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C02FC"/>
    <w:multiLevelType w:val="hybridMultilevel"/>
    <w:tmpl w:val="2F588D64"/>
    <w:lvl w:ilvl="0" w:tplc="160AD03C">
      <w:start w:val="1"/>
      <w:numFmt w:val="decimal"/>
      <w:lvlText w:val="%1."/>
      <w:lvlJc w:val="left"/>
      <w:pPr>
        <w:ind w:left="46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41322"/>
    <w:rsid w:val="0009709D"/>
    <w:rsid w:val="000C317D"/>
    <w:rsid w:val="000D6636"/>
    <w:rsid w:val="00126B47"/>
    <w:rsid w:val="00130B9C"/>
    <w:rsid w:val="00142ED4"/>
    <w:rsid w:val="001C5B21"/>
    <w:rsid w:val="003B0D85"/>
    <w:rsid w:val="004A72E2"/>
    <w:rsid w:val="0061519B"/>
    <w:rsid w:val="00627674"/>
    <w:rsid w:val="006914C7"/>
    <w:rsid w:val="007254D3"/>
    <w:rsid w:val="00732B3B"/>
    <w:rsid w:val="00795F96"/>
    <w:rsid w:val="00820C37"/>
    <w:rsid w:val="008304E1"/>
    <w:rsid w:val="00836986"/>
    <w:rsid w:val="00841322"/>
    <w:rsid w:val="00886A8A"/>
    <w:rsid w:val="008C633B"/>
    <w:rsid w:val="00915141"/>
    <w:rsid w:val="00991EFC"/>
    <w:rsid w:val="009C7EF8"/>
    <w:rsid w:val="00A33246"/>
    <w:rsid w:val="00AC0BAC"/>
    <w:rsid w:val="00B03524"/>
    <w:rsid w:val="00B61104"/>
    <w:rsid w:val="00B63D6E"/>
    <w:rsid w:val="00B85FDC"/>
    <w:rsid w:val="00CC0FDC"/>
    <w:rsid w:val="00D11872"/>
    <w:rsid w:val="00E06FE0"/>
    <w:rsid w:val="00E87A08"/>
    <w:rsid w:val="00EA1B7D"/>
    <w:rsid w:val="00F304E8"/>
    <w:rsid w:val="00F73863"/>
    <w:rsid w:val="00F97408"/>
    <w:rsid w:val="00FD2AD6"/>
    <w:rsid w:val="00FE29B6"/>
    <w:rsid w:val="00FF6A69"/>
    <w:rsid w:val="107153A3"/>
    <w:rsid w:val="1B2E6A05"/>
    <w:rsid w:val="28075854"/>
    <w:rsid w:val="280A477D"/>
    <w:rsid w:val="35903A49"/>
    <w:rsid w:val="3B1E09CC"/>
    <w:rsid w:val="4AA12672"/>
    <w:rsid w:val="4DD90015"/>
    <w:rsid w:val="50D56E92"/>
    <w:rsid w:val="52173171"/>
    <w:rsid w:val="5FFA5FAD"/>
    <w:rsid w:val="7EC1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95F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54D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2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54D3"/>
    <w:rPr>
      <w:rFonts w:ascii="Calibri" w:hAnsi="Calibri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95F9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Body Text"/>
    <w:basedOn w:val="a"/>
    <w:link w:val="Char1"/>
    <w:uiPriority w:val="1"/>
    <w:unhideWhenUsed/>
    <w:qFormat/>
    <w:rsid w:val="00795F96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795F96"/>
    <w:rPr>
      <w:rFonts w:ascii="宋体" w:hAnsi="宋体" w:cs="宋体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95F96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table" w:customStyle="1" w:styleId="TableNormal">
    <w:name w:val="Table Normal"/>
    <w:uiPriority w:val="2"/>
    <w:qFormat/>
    <w:rsid w:val="00795F96"/>
    <w:pPr>
      <w:widowControl w:val="0"/>
      <w:autoSpaceDE w:val="0"/>
      <w:autoSpaceDN w:val="0"/>
    </w:pPr>
    <w:rPr>
      <w:rFonts w:ascii="Calibri" w:eastAsia="Times New Roman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aintableframed">
    <w:name w:val="main_table_frame_d"/>
    <w:link w:val="maintableframedChar"/>
    <w:rsid w:val="00732B3B"/>
    <w:pPr>
      <w:pBdr>
        <w:bottom w:val="dashed" w:sz="4" w:space="1" w:color="CCCCCC"/>
      </w:pBdr>
      <w:spacing w:before="100" w:beforeAutospacing="1" w:after="100" w:afterAutospacing="1"/>
    </w:pPr>
    <w:rPr>
      <w:rFonts w:ascii="宋体"/>
      <w:sz w:val="24"/>
      <w:szCs w:val="22"/>
    </w:rPr>
  </w:style>
  <w:style w:type="character" w:customStyle="1" w:styleId="maintableframedChar">
    <w:name w:val="main_table_frame_d Char"/>
    <w:basedOn w:val="a0"/>
    <w:link w:val="maintableframed"/>
    <w:rsid w:val="00732B3B"/>
    <w:rPr>
      <w:rFonts w:ascii="宋体"/>
      <w:sz w:val="24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朱必辉</cp:lastModifiedBy>
  <cp:revision>2</cp:revision>
  <cp:lastPrinted>2022-04-22T03:58:00Z</cp:lastPrinted>
  <dcterms:created xsi:type="dcterms:W3CDTF">2022-12-07T03:55:00Z</dcterms:created>
  <dcterms:modified xsi:type="dcterms:W3CDTF">2022-12-07T03:55:00Z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